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附件</w:t>
      </w:r>
      <w:r>
        <w:rPr>
          <w:rFonts w:hint="eastAsia" w:ascii="黑体" w:hAnsi="黑体" w:eastAsia="黑体" w:cs="黑体"/>
          <w:color w:val="auto"/>
          <w:sz w:val="32"/>
          <w:szCs w:val="32"/>
          <w:lang w:val="en-US" w:eastAsia="zh-CN"/>
        </w:rPr>
        <w:t>5</w:t>
      </w:r>
      <w:bookmarkStart w:id="0" w:name="_GoBack"/>
      <w:bookmarkEnd w:id="0"/>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黑体" w:eastAsia="黑体"/>
          <w:color w:val="auto"/>
          <w:sz w:val="32"/>
          <w:szCs w:val="3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36"/>
          <w:szCs w:val="36"/>
        </w:rPr>
      </w:pPr>
      <w:r>
        <w:rPr>
          <w:rFonts w:hint="eastAsia" w:ascii="方正小标宋简体" w:hAnsi="方正小标宋简体" w:eastAsia="方正小标宋简体" w:cs="方正小标宋简体"/>
          <w:color w:val="auto"/>
          <w:sz w:val="36"/>
          <w:szCs w:val="36"/>
        </w:rPr>
        <w:t>襄阳市市级物业管理示范项目评价标准</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36"/>
          <w:szCs w:val="36"/>
        </w:rPr>
      </w:pPr>
      <w:r>
        <w:rPr>
          <w:rFonts w:hint="eastAsia" w:ascii="方正小标宋简体" w:hAnsi="方正小标宋简体" w:eastAsia="方正小标宋简体" w:cs="方正小标宋简体"/>
          <w:color w:val="auto"/>
          <w:sz w:val="36"/>
          <w:szCs w:val="36"/>
        </w:rPr>
        <w:t>（</w:t>
      </w:r>
      <w:r>
        <w:rPr>
          <w:rFonts w:hint="eastAsia" w:ascii="方正小标宋简体" w:hAnsi="方正小标宋简体" w:eastAsia="方正小标宋简体" w:cs="方正小标宋简体"/>
          <w:color w:val="auto"/>
          <w:sz w:val="36"/>
          <w:szCs w:val="36"/>
          <w:lang w:eastAsia="zh-CN"/>
        </w:rPr>
        <w:t>老旧小区</w:t>
      </w:r>
      <w:r>
        <w:rPr>
          <w:rFonts w:hint="eastAsia" w:ascii="方正小标宋简体" w:hAnsi="方正小标宋简体" w:eastAsia="方正小标宋简体" w:cs="方正小标宋简体"/>
          <w:color w:val="auto"/>
          <w:sz w:val="36"/>
          <w:szCs w:val="36"/>
        </w:rPr>
        <w:t>）</w:t>
      </w:r>
    </w:p>
    <w:tbl>
      <w:tblPr>
        <w:tblStyle w:val="5"/>
        <w:tblpPr w:leftFromText="180" w:rightFromText="180" w:vertAnchor="text" w:horzAnchor="page" w:tblpX="1422" w:tblpY="556"/>
        <w:tblOverlap w:val="never"/>
        <w:tblW w:w="8921"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2065"/>
        <w:gridCol w:w="3288"/>
        <w:gridCol w:w="655"/>
        <w:gridCol w:w="1188"/>
        <w:gridCol w:w="1057"/>
        <w:gridCol w:w="66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50" w:hRule="atLeast"/>
        </w:trPr>
        <w:tc>
          <w:tcPr>
            <w:tcW w:w="2065"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kern w:val="0"/>
                <w:szCs w:val="21"/>
              </w:rPr>
            </w:pPr>
            <w:r>
              <w:rPr>
                <w:rFonts w:hint="eastAsia" w:ascii="宋体" w:hAnsi="宋体" w:eastAsia="宋体" w:cs="宋体"/>
                <w:b/>
                <w:color w:val="auto"/>
                <w:kern w:val="0"/>
                <w:szCs w:val="21"/>
              </w:rPr>
              <w:t>项  目</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kern w:val="0"/>
                <w:szCs w:val="21"/>
              </w:rPr>
            </w:pPr>
            <w:r>
              <w:rPr>
                <w:rFonts w:hint="eastAsia" w:ascii="宋体" w:hAnsi="宋体" w:eastAsia="宋体" w:cs="宋体"/>
                <w:b/>
                <w:color w:val="auto"/>
                <w:kern w:val="0"/>
                <w:szCs w:val="21"/>
              </w:rPr>
              <w:t>标准内容</w:t>
            </w:r>
          </w:p>
        </w:tc>
        <w:tc>
          <w:tcPr>
            <w:tcW w:w="655"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kern w:val="0"/>
                <w:szCs w:val="21"/>
              </w:rPr>
            </w:pPr>
            <w:r>
              <w:rPr>
                <w:rFonts w:hint="eastAsia" w:ascii="宋体" w:hAnsi="宋体" w:eastAsia="宋体" w:cs="宋体"/>
                <w:b/>
                <w:color w:val="auto"/>
                <w:kern w:val="0"/>
                <w:szCs w:val="21"/>
              </w:rPr>
              <w:t>规定</w:t>
            </w: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kern w:val="0"/>
                <w:szCs w:val="21"/>
              </w:rPr>
            </w:pPr>
            <w:r>
              <w:rPr>
                <w:rFonts w:hint="eastAsia" w:ascii="宋体" w:hAnsi="宋体" w:eastAsia="宋体" w:cs="宋体"/>
                <w:b/>
                <w:color w:val="auto"/>
                <w:kern w:val="0"/>
                <w:szCs w:val="21"/>
              </w:rPr>
              <w:t>分值</w:t>
            </w:r>
          </w:p>
        </w:tc>
        <w:tc>
          <w:tcPr>
            <w:tcW w:w="11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kern w:val="0"/>
                <w:szCs w:val="21"/>
              </w:rPr>
            </w:pPr>
            <w:r>
              <w:rPr>
                <w:rFonts w:hint="eastAsia" w:ascii="宋体" w:hAnsi="宋体" w:eastAsia="宋体" w:cs="宋体"/>
                <w:b/>
                <w:color w:val="auto"/>
                <w:kern w:val="0"/>
                <w:szCs w:val="21"/>
              </w:rPr>
              <w:t>评分</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kern w:val="0"/>
                <w:szCs w:val="21"/>
              </w:rPr>
            </w:pPr>
            <w:r>
              <w:rPr>
                <w:rFonts w:hint="eastAsia" w:ascii="宋体" w:hAnsi="宋体" w:eastAsia="宋体" w:cs="宋体"/>
                <w:b/>
                <w:color w:val="auto"/>
                <w:kern w:val="0"/>
                <w:szCs w:val="21"/>
              </w:rPr>
              <w:t>细则</w:t>
            </w:r>
          </w:p>
        </w:tc>
        <w:tc>
          <w:tcPr>
            <w:tcW w:w="1057"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kern w:val="0"/>
                <w:szCs w:val="21"/>
              </w:rPr>
            </w:pPr>
            <w:r>
              <w:rPr>
                <w:rFonts w:hint="eastAsia"/>
                <w:b/>
                <w:bCs/>
                <w:color w:val="auto"/>
                <w:lang w:eastAsia="zh-CN"/>
              </w:rPr>
              <w:t>县（</w:t>
            </w:r>
            <w:r>
              <w:rPr>
                <w:rFonts w:hint="eastAsia"/>
                <w:b/>
                <w:bCs/>
                <w:color w:val="auto"/>
              </w:rPr>
              <w:t>市</w:t>
            </w:r>
            <w:r>
              <w:rPr>
                <w:rFonts w:hint="eastAsia"/>
                <w:b/>
                <w:bCs/>
                <w:color w:val="auto"/>
                <w:lang w:eastAsia="zh-CN"/>
              </w:rPr>
              <w:t>、区）</w:t>
            </w:r>
            <w:r>
              <w:rPr>
                <w:rFonts w:hint="eastAsia"/>
                <w:b/>
                <w:bCs/>
                <w:color w:val="auto"/>
              </w:rPr>
              <w:t>评分值</w:t>
            </w:r>
          </w:p>
        </w:tc>
        <w:tc>
          <w:tcPr>
            <w:tcW w:w="66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kern w:val="0"/>
                <w:szCs w:val="21"/>
              </w:rPr>
            </w:pPr>
            <w:r>
              <w:rPr>
                <w:rFonts w:hint="eastAsia" w:ascii="宋体" w:hAnsi="宋体" w:cs="宋体"/>
                <w:b/>
                <w:color w:val="auto"/>
                <w:kern w:val="0"/>
                <w:szCs w:val="21"/>
                <w:lang w:eastAsia="zh-CN"/>
              </w:rPr>
              <w:t>市</w:t>
            </w:r>
            <w:r>
              <w:rPr>
                <w:rFonts w:hint="eastAsia" w:ascii="宋体" w:hAnsi="宋体" w:eastAsia="宋体" w:cs="宋体"/>
                <w:b/>
                <w:color w:val="auto"/>
                <w:kern w:val="0"/>
                <w:szCs w:val="21"/>
              </w:rPr>
              <w:t>评</w:t>
            </w: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kern w:val="0"/>
                <w:szCs w:val="21"/>
              </w:rPr>
            </w:pPr>
            <w:r>
              <w:rPr>
                <w:rFonts w:hint="eastAsia" w:ascii="宋体" w:hAnsi="宋体" w:eastAsia="宋体" w:cs="宋体"/>
                <w:b/>
                <w:color w:val="auto"/>
                <w:kern w:val="0"/>
                <w:szCs w:val="21"/>
              </w:rPr>
              <w:t>分值</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4" w:hRule="atLeast"/>
        </w:trPr>
        <w:tc>
          <w:tcPr>
            <w:tcW w:w="5353" w:type="dxa"/>
            <w:gridSpan w:val="2"/>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bCs/>
                <w:color w:val="auto"/>
                <w:kern w:val="0"/>
                <w:szCs w:val="21"/>
              </w:rPr>
            </w:pPr>
            <w:r>
              <w:rPr>
                <w:rFonts w:hint="eastAsia" w:ascii="宋体" w:hAnsi="宋体" w:eastAsia="宋体" w:cs="宋体"/>
                <w:b/>
                <w:bCs/>
                <w:color w:val="auto"/>
                <w:kern w:val="0"/>
                <w:szCs w:val="21"/>
              </w:rPr>
              <w:t>一、基础管理服务</w:t>
            </w:r>
          </w:p>
        </w:tc>
        <w:tc>
          <w:tcPr>
            <w:tcW w:w="655"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kern w:val="0"/>
                <w:szCs w:val="21"/>
              </w:rPr>
            </w:pPr>
            <w:r>
              <w:rPr>
                <w:rFonts w:hint="eastAsia" w:ascii="宋体" w:hAnsi="宋体" w:eastAsia="宋体" w:cs="宋体"/>
                <w:b/>
                <w:bCs/>
                <w:color w:val="auto"/>
                <w:kern w:val="0"/>
                <w:szCs w:val="21"/>
              </w:rPr>
              <w:t>26</w:t>
            </w:r>
          </w:p>
        </w:tc>
        <w:tc>
          <w:tcPr>
            <w:tcW w:w="11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kern w:val="0"/>
                <w:szCs w:val="21"/>
              </w:rPr>
            </w:pPr>
          </w:p>
        </w:tc>
        <w:tc>
          <w:tcPr>
            <w:tcW w:w="1057"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66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6"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物业项目资料</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竣工总平面图、地下管网图等竣工验收资料；</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缺第1、2项扣0.3分，缺第3项扣0.4分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3"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共用设施设备清单使用和维护保养等技术资料；</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物业管理区域划分证明。</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851"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承接查验手续</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共用部位、共用设施设备查验记录、交接记录；</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更换过物业公司的小区要求满足两项，缺一项扣1分；未更换过物业公司的小区仅要求满足第2项，不符合扣2分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41"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cs="宋体"/>
                <w:color w:val="auto"/>
                <w:kern w:val="0"/>
                <w:szCs w:val="21"/>
                <w:lang w:val="en-US" w:eastAsia="zh-CN"/>
              </w:rPr>
              <w:t>2.</w:t>
            </w:r>
            <w:r>
              <w:rPr>
                <w:rFonts w:hint="eastAsia" w:ascii="宋体" w:hAnsi="宋体" w:eastAsia="宋体" w:cs="宋体"/>
                <w:color w:val="auto"/>
                <w:kern w:val="0"/>
                <w:szCs w:val="21"/>
              </w:rPr>
              <w:t>物业承接查验协议</w:t>
            </w:r>
            <w:r>
              <w:rPr>
                <w:rFonts w:hint="eastAsia" w:ascii="宋体" w:hAnsi="宋体" w:eastAsia="宋体" w:cs="宋体"/>
                <w:color w:val="auto"/>
                <w:kern w:val="0"/>
                <w:szCs w:val="21"/>
                <w:lang w:eastAsia="zh-CN"/>
              </w:rPr>
              <w:t>。</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74" w:hRule="atLeast"/>
        </w:trPr>
        <w:tc>
          <w:tcPr>
            <w:tcW w:w="2065"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管理规约制度</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lang w:val="en-US" w:eastAsia="zh-CN"/>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管理规约和业主大会议事规则，且内容符合法律法规的规定；</w:t>
            </w:r>
          </w:p>
        </w:tc>
        <w:tc>
          <w:tcPr>
            <w:tcW w:w="655"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p>
        </w:tc>
        <w:tc>
          <w:tcPr>
            <w:tcW w:w="1188"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缺一项扣</w:t>
            </w:r>
            <w:r>
              <w:rPr>
                <w:rFonts w:hint="eastAsia" w:ascii="宋体" w:hAnsi="宋体" w:cs="宋体"/>
                <w:color w:val="auto"/>
                <w:kern w:val="0"/>
                <w:szCs w:val="21"/>
                <w:lang w:val="en-US" w:eastAsia="zh-CN"/>
              </w:rPr>
              <w:t>1</w:t>
            </w:r>
            <w:r>
              <w:rPr>
                <w:rFonts w:hint="eastAsia" w:ascii="宋体" w:hAnsi="宋体" w:eastAsia="宋体" w:cs="宋体"/>
                <w:color w:val="auto"/>
                <w:kern w:val="0"/>
                <w:szCs w:val="21"/>
              </w:rPr>
              <w:t>分</w:t>
            </w:r>
          </w:p>
        </w:tc>
        <w:tc>
          <w:tcPr>
            <w:tcW w:w="1057"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49" w:hRule="atLeast"/>
        </w:trPr>
        <w:tc>
          <w:tcPr>
            <w:tcW w:w="2065"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lang w:val="en-US" w:eastAsia="zh-CN"/>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管理规约和业主大会议事规则经业主大会表决通过。</w:t>
            </w:r>
          </w:p>
        </w:tc>
        <w:tc>
          <w:tcPr>
            <w:tcW w:w="655"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4" w:hRule="atLeast"/>
        </w:trPr>
        <w:tc>
          <w:tcPr>
            <w:tcW w:w="2065"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物业服务合同</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lang w:val="en-US" w:eastAsia="zh-CN"/>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物业服务合同，且内容符合法律法规的规定，无侵害业主合法权益的内容；</w:t>
            </w:r>
          </w:p>
        </w:tc>
        <w:tc>
          <w:tcPr>
            <w:tcW w:w="655"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p>
        </w:tc>
        <w:tc>
          <w:tcPr>
            <w:tcW w:w="1188"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缺一项扣</w:t>
            </w:r>
            <w:r>
              <w:rPr>
                <w:rFonts w:hint="eastAsia" w:ascii="宋体" w:hAnsi="宋体" w:cs="宋体"/>
                <w:color w:val="auto"/>
                <w:kern w:val="0"/>
                <w:szCs w:val="21"/>
                <w:lang w:val="en-US" w:eastAsia="zh-CN"/>
              </w:rPr>
              <w:t>1</w:t>
            </w:r>
            <w:r>
              <w:rPr>
                <w:rFonts w:hint="eastAsia" w:ascii="宋体" w:hAnsi="宋体" w:eastAsia="宋体" w:cs="宋体"/>
                <w:color w:val="auto"/>
                <w:kern w:val="0"/>
                <w:szCs w:val="21"/>
              </w:rPr>
              <w:t>分</w:t>
            </w:r>
          </w:p>
        </w:tc>
        <w:tc>
          <w:tcPr>
            <w:tcW w:w="1057"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lang w:val="en-US" w:eastAsia="zh-CN"/>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与业主大会表决通过的物业服务企业签订物业服务合同。</w:t>
            </w:r>
          </w:p>
        </w:tc>
        <w:tc>
          <w:tcPr>
            <w:tcW w:w="655"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9"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专项维修资金制度</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物业服务企业协助并配合制定维修资金使用方案；</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缺第1项扣</w:t>
            </w:r>
            <w:r>
              <w:rPr>
                <w:rFonts w:hint="eastAsia" w:ascii="宋体" w:hAnsi="宋体" w:cs="宋体"/>
                <w:color w:val="auto"/>
                <w:kern w:val="0"/>
                <w:szCs w:val="21"/>
                <w:lang w:val="en-US" w:eastAsia="zh-CN"/>
              </w:rPr>
              <w:t>1</w:t>
            </w:r>
            <w:r>
              <w:rPr>
                <w:rFonts w:hint="eastAsia" w:ascii="宋体" w:hAnsi="宋体" w:eastAsia="宋体" w:cs="宋体"/>
                <w:color w:val="auto"/>
                <w:kern w:val="0"/>
                <w:szCs w:val="21"/>
              </w:rPr>
              <w:t>分，第2、3项不符合各扣0.5分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34"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物业服务企业协助并配合组织实施方案，预算、列支、备案、施工及竣工验收有书面记录；</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31"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物业服务企业无挪用维修资金、擅自扩大使用范围等违规行为。</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管理服务制度</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人力资源管理制度；</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缺一项扣0.2分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财务管理制度；</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合同管理制度；</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房屋维修养护管理制度；</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5</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设施设备维修养护管理制度；</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6</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秩序维护管理制度；</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7</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环境清洁管理制度；</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8</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园林绿化管理制度；</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9</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收费管理制度；</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10</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客户关系管理制度。</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210" w:firstLineChars="100"/>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档案管理</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房屋设施设备日常维修养护档案实现动态监管；</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一项不符合扣0.2分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业主信息档案实现动态管理；</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档案分类规范，查阅方便；</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档案使用登记手续完备；</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5</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档案存放环境符合规定条件。</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67"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突发事件应急机制</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制定消防、电梯、给排水、供配电等共用设施设备事故应急预案；</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一项不符合扣1分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制定自然灾害、公共卫生、治安、交通等方面突发事件的配合性应急预案</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严格落实政府对“疫情”防控的相关措施</w:t>
            </w:r>
            <w:r>
              <w:rPr>
                <w:rFonts w:hint="eastAsia" w:ascii="宋体" w:hAnsi="宋体" w:eastAsia="宋体" w:cs="宋体"/>
                <w:color w:val="auto"/>
                <w:kern w:val="0"/>
                <w:szCs w:val="21"/>
                <w:lang w:eastAsia="zh-CN"/>
              </w:rPr>
              <w:t>；</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应急预案定期演练，并有相应记录。</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7"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员工培训和企业形象</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建立企业员工培训体系，根据不同岗位特点制</w:t>
            </w:r>
            <w:r>
              <w:rPr>
                <w:rFonts w:hint="eastAsia" w:ascii="宋体" w:hAnsi="宋体" w:cs="宋体"/>
                <w:color w:val="auto"/>
                <w:kern w:val="0"/>
                <w:szCs w:val="21"/>
                <w:lang w:eastAsia="zh-CN"/>
              </w:rPr>
              <w:t>定</w:t>
            </w:r>
            <w:r>
              <w:rPr>
                <w:rFonts w:hint="eastAsia" w:ascii="宋体" w:hAnsi="宋体" w:eastAsia="宋体" w:cs="宋体"/>
                <w:color w:val="auto"/>
                <w:kern w:val="0"/>
                <w:szCs w:val="21"/>
              </w:rPr>
              <w:t>并落实员工分类培训计划；</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第1项不符合扣1分，第2、3、4、5项不符合各扣0.5分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51"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专业岗位操作人员按规定持有专业岗位证书（包括消防监控人员、电梯维修人员、高低压电工等）；</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不同岗位服务人员分类统一着装，佩戴工作标志；</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服务人员态度热情耐心，举止文明礼貌，解答问题及时准确；</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31"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5</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企业标识标牌体系完善，业主手册、服务指南等客户服务资料简明实用。</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30"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客户服务管理</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设立物业服务中心，公示物业服务企业营业执照、服务内容和标准、收费依据和标准、项目负责人照片及资格证书、服务电话；</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一项不符合扣0.5分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有专人负责接待客户来访，24小时受理客户信息；</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客服接待人员值班记录及时，客户信息处理记录完整，按月进行统计分析；</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1"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有客户回访制度和记录，投诉处理及时率100%，并按月进行统计分析；</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48"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5</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物业服务收费明码标价，实行物业服务费酬金制的，每年不少于一次公布物业服务资金的收支情况；</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6</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利用共用部位、共用设施设备经营的，应当征得业主的同意，并定期公布收益情况。</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lang w:eastAsia="zh-CN"/>
              </w:rPr>
              <w:t>党建、</w:t>
            </w:r>
            <w:r>
              <w:rPr>
                <w:rFonts w:hint="eastAsia" w:ascii="宋体" w:hAnsi="宋体" w:eastAsia="宋体" w:cs="宋体"/>
                <w:color w:val="auto"/>
                <w:kern w:val="0"/>
                <w:szCs w:val="21"/>
              </w:rPr>
              <w:t>社区文化建设</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lang w:eastAsia="zh-CN"/>
              </w:rPr>
              <w:t>党建、</w:t>
            </w:r>
            <w:r>
              <w:rPr>
                <w:rFonts w:hint="eastAsia" w:ascii="宋体" w:hAnsi="宋体" w:eastAsia="宋体" w:cs="宋体"/>
                <w:color w:val="auto"/>
                <w:kern w:val="0"/>
                <w:szCs w:val="21"/>
              </w:rPr>
              <w:t>社区文化建设有计划，有方案，有措施，有成效；</w:t>
            </w:r>
          </w:p>
        </w:tc>
        <w:tc>
          <w:tcPr>
            <w:tcW w:w="655"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p>
        </w:tc>
        <w:tc>
          <w:tcPr>
            <w:tcW w:w="1188"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一项不符合扣0.</w:t>
            </w:r>
            <w:r>
              <w:rPr>
                <w:rFonts w:hint="eastAsia" w:ascii="宋体" w:hAnsi="宋体" w:eastAsia="宋体" w:cs="宋体"/>
                <w:color w:val="auto"/>
                <w:kern w:val="0"/>
                <w:szCs w:val="21"/>
                <w:lang w:val="en-US" w:eastAsia="zh-CN"/>
              </w:rPr>
              <w:t>4</w:t>
            </w:r>
            <w:r>
              <w:rPr>
                <w:rFonts w:hint="eastAsia" w:ascii="宋体" w:hAnsi="宋体" w:eastAsia="宋体" w:cs="宋体"/>
                <w:color w:val="auto"/>
                <w:kern w:val="0"/>
                <w:szCs w:val="21"/>
              </w:rPr>
              <w:t>分</w:t>
            </w:r>
          </w:p>
        </w:tc>
        <w:tc>
          <w:tcPr>
            <w:tcW w:w="1057"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0" w:hRule="atLeast"/>
        </w:trPr>
        <w:tc>
          <w:tcPr>
            <w:tcW w:w="2065"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采用书面资料、宣传栏、网络等方式培养住户的公共道德意识和良好生活习惯；</w:t>
            </w:r>
          </w:p>
        </w:tc>
        <w:tc>
          <w:tcPr>
            <w:tcW w:w="655"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5" w:hRule="atLeast"/>
        </w:trPr>
        <w:tc>
          <w:tcPr>
            <w:tcW w:w="2065"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每年开展二次以上的</w:t>
            </w:r>
            <w:r>
              <w:rPr>
                <w:rFonts w:hint="eastAsia" w:ascii="宋体" w:hAnsi="宋体" w:eastAsia="宋体" w:cs="宋体"/>
                <w:color w:val="auto"/>
                <w:kern w:val="0"/>
                <w:szCs w:val="21"/>
                <w:lang w:eastAsia="zh-CN"/>
              </w:rPr>
              <w:t>党建、</w:t>
            </w:r>
            <w:r>
              <w:rPr>
                <w:rFonts w:hint="eastAsia" w:ascii="宋体" w:hAnsi="宋体" w:eastAsia="宋体" w:cs="宋体"/>
                <w:color w:val="auto"/>
                <w:kern w:val="0"/>
                <w:szCs w:val="21"/>
              </w:rPr>
              <w:t>文体娱乐活动，营造和谐的社区氛围；</w:t>
            </w:r>
          </w:p>
        </w:tc>
        <w:tc>
          <w:tcPr>
            <w:tcW w:w="655"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9" w:hRule="atLeast"/>
        </w:trPr>
        <w:tc>
          <w:tcPr>
            <w:tcW w:w="2065"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积极组织和参与社区志愿活动，开展社区精神文明建设。</w:t>
            </w:r>
          </w:p>
        </w:tc>
        <w:tc>
          <w:tcPr>
            <w:tcW w:w="655"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9" w:hRule="atLeast"/>
        </w:trPr>
        <w:tc>
          <w:tcPr>
            <w:tcW w:w="2065" w:type="dxa"/>
            <w:vMerge w:val="continue"/>
            <w:tcBorders>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5</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已建立“三方联动 多元共治”机制</w:t>
            </w:r>
            <w:r>
              <w:rPr>
                <w:rFonts w:hint="eastAsia" w:ascii="宋体" w:hAnsi="宋体" w:eastAsia="宋体" w:cs="宋体"/>
                <w:color w:val="auto"/>
                <w:kern w:val="0"/>
                <w:szCs w:val="21"/>
                <w:lang w:eastAsia="zh-CN"/>
              </w:rPr>
              <w:t>。</w:t>
            </w:r>
          </w:p>
        </w:tc>
        <w:tc>
          <w:tcPr>
            <w:tcW w:w="655" w:type="dxa"/>
            <w:vMerge w:val="continue"/>
            <w:tcBorders>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22"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沟通报告机制</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对住户违反治安、消防、环保、房屋装饰装修和使用等方面法律、法规规定的行为，及时进行劝阻，并向有关行政部门报告；</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一项不符合扣1分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0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主动与物业所在地的房地产行政主管部门、街道办事处（乡镇人民政府）、公安派出所、居民委员会联络，共同协调解决物业管理中遇到的问题；</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32"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协助业主大会筹备工作，建立与业主委员会定期沟通报告的工作例会制度，积极听取业主和业主委员会对物业服务的意见和建议，主动接受业主和业主委员会的监督。</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5353" w:type="dxa"/>
            <w:gridSpan w:val="2"/>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bCs/>
                <w:color w:val="auto"/>
                <w:kern w:val="0"/>
                <w:szCs w:val="21"/>
              </w:rPr>
            </w:pPr>
            <w:r>
              <w:rPr>
                <w:rFonts w:hint="eastAsia" w:ascii="宋体" w:hAnsi="宋体" w:eastAsia="宋体" w:cs="宋体"/>
                <w:b/>
                <w:bCs/>
                <w:color w:val="auto"/>
                <w:kern w:val="0"/>
                <w:szCs w:val="21"/>
              </w:rPr>
              <w:t>二、房屋共用部位管理</w:t>
            </w:r>
          </w:p>
        </w:tc>
        <w:tc>
          <w:tcPr>
            <w:tcW w:w="655"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kern w:val="0"/>
                <w:szCs w:val="21"/>
              </w:rPr>
            </w:pPr>
            <w:r>
              <w:rPr>
                <w:rFonts w:hint="eastAsia" w:ascii="宋体" w:hAnsi="宋体" w:eastAsia="宋体" w:cs="宋体"/>
                <w:b/>
                <w:bCs/>
                <w:color w:val="auto"/>
                <w:kern w:val="0"/>
                <w:szCs w:val="21"/>
              </w:rPr>
              <w:t>13</w:t>
            </w:r>
          </w:p>
        </w:tc>
        <w:tc>
          <w:tcPr>
            <w:tcW w:w="11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b/>
                <w:bCs/>
                <w:color w:val="auto"/>
                <w:kern w:val="0"/>
                <w:szCs w:val="21"/>
              </w:rPr>
            </w:pPr>
          </w:p>
        </w:tc>
        <w:tc>
          <w:tcPr>
            <w:tcW w:w="1057"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标识系统和维保资料</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主出入口设有小区平面示意图；</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一项不符合扣0.5分，一处不符合扣0.2分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管理区域内交通标志引导指示牌规范清晰；</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小区组团、栋、单元（门）、户门以及配套公建标识规范清晰；</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建立房屋产权清册；</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5</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房屋维修、保养记录完整；</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61"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6</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房屋使用功能完备，无安全隐患。</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5"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共用部位使用管理</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共用场地、部位符合规划要求，基本无违章搭建现象；</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一项不符合扣1分，一处不符合扣0.2分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0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房屋共用部位使用符合建筑设计要求，无擅自改变用途现象。</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房屋外观状况</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房屋外观完好、整洁，无污迹、乱贴、乱涂、乱画和乱挂现象，基本无破损、脱落、渗水；</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一项不符合扣1分，一处不符合扣0.2分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外墙清洗或粉刷按合同和计划组织实施、记录完整。</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0"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室外附加设施管理</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室外招牌、广告牌、夜景灯等设施按规定办理报批，手续齐全，色彩风格统一；</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一项不符合扣0.5分，一处不符合扣0.2分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1"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封闭阳台、外廊及户外防盗网、晾晒架、遮阳蓬安装符合建筑设计要求和管理规约约定，样式、规格基本统一；</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22"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空调、户外防盗网、晾晒架等安装牢固，管线整齐，美观大方，无安全隐患；</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33"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发现安全隐患，及时告知或劝阻业主及相关当事人，并采取相应防范措施。</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2065"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装饰装修管理</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签订装饰装修管理服务协议；</w:t>
            </w:r>
          </w:p>
        </w:tc>
        <w:tc>
          <w:tcPr>
            <w:tcW w:w="655"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p>
        </w:tc>
        <w:tc>
          <w:tcPr>
            <w:tcW w:w="1188" w:type="dxa"/>
            <w:vMerge w:val="restart"/>
            <w:tcBorders>
              <w:left w:val="single" w:color="auto" w:sz="8" w:space="0"/>
              <w:right w:val="single" w:color="auto" w:sz="8" w:space="0"/>
            </w:tcBorders>
            <w:noWrap w:val="0"/>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一项不符合扣0.6</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分，一处不符合扣0.2分</w:t>
            </w:r>
          </w:p>
        </w:tc>
        <w:tc>
          <w:tcPr>
            <w:tcW w:w="1057"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7" w:hRule="atLeast"/>
        </w:trPr>
        <w:tc>
          <w:tcPr>
            <w:tcW w:w="2065"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书面告知业主及施工单位装饰装修的禁止行为和注意事项，并在装修现场公示，装修现场的消防及安全防范措施得当；</w:t>
            </w:r>
          </w:p>
        </w:tc>
        <w:tc>
          <w:tcPr>
            <w:tcW w:w="655"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0" w:hRule="atLeast"/>
        </w:trPr>
        <w:tc>
          <w:tcPr>
            <w:tcW w:w="2065"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装修人员出入和装修施工时间有效控制，装修垃圾定点堆放，定时清运；</w:t>
            </w:r>
          </w:p>
        </w:tc>
        <w:tc>
          <w:tcPr>
            <w:tcW w:w="655"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65" w:hRule="atLeast"/>
        </w:trPr>
        <w:tc>
          <w:tcPr>
            <w:tcW w:w="2065"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专人每日巡视检查装修现场，及时劝阻和制止装修违规行为，制止无效的，书面报告业主委员会及有关部门；</w:t>
            </w:r>
          </w:p>
        </w:tc>
        <w:tc>
          <w:tcPr>
            <w:tcW w:w="655"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5</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装修验收手续完备，装修档案保存完整。</w:t>
            </w:r>
          </w:p>
        </w:tc>
        <w:tc>
          <w:tcPr>
            <w:tcW w:w="655" w:type="dxa"/>
            <w:vMerge w:val="continue"/>
            <w:tcBorders>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31"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日常巡视、检查与管理</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每日巡查屋面、单元门、楼梯、通道、窗户等共用部位，发现损坏，及时维修养护并做好记录；</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w:t>
            </w:r>
            <w:r>
              <w:rPr>
                <w:rFonts w:hint="eastAsia" w:ascii="宋体" w:hAnsi="宋体" w:cs="宋体"/>
                <w:color w:val="auto"/>
                <w:kern w:val="0"/>
                <w:szCs w:val="21"/>
                <w:lang w:val="en-US" w:eastAsia="zh-CN"/>
              </w:rPr>
              <w:t>0.5</w:t>
            </w:r>
            <w:r>
              <w:rPr>
                <w:rFonts w:hint="eastAsia" w:ascii="宋体" w:hAnsi="宋体" w:eastAsia="宋体" w:cs="宋体"/>
                <w:color w:val="auto"/>
                <w:kern w:val="0"/>
                <w:szCs w:val="21"/>
              </w:rPr>
              <w:t>分，一处不符合扣0.2分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33"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门窗无破损，楼梯、通道以及屋面无乱堆乱放现象，屋面防水性能良好，进出有监管措施。</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5" w:hRule="atLeast"/>
        </w:trPr>
        <w:tc>
          <w:tcPr>
            <w:tcW w:w="5353" w:type="dxa"/>
            <w:gridSpan w:val="2"/>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bCs/>
                <w:color w:val="auto"/>
                <w:kern w:val="0"/>
                <w:szCs w:val="21"/>
              </w:rPr>
            </w:pPr>
            <w:r>
              <w:rPr>
                <w:rFonts w:hint="eastAsia" w:ascii="宋体" w:hAnsi="宋体" w:eastAsia="宋体" w:cs="宋体"/>
                <w:b/>
                <w:bCs/>
                <w:color w:val="auto"/>
                <w:kern w:val="0"/>
                <w:szCs w:val="21"/>
              </w:rPr>
              <w:t>三、共用设施设备运行、维修和养护</w:t>
            </w:r>
          </w:p>
        </w:tc>
        <w:tc>
          <w:tcPr>
            <w:tcW w:w="655"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kern w:val="0"/>
                <w:szCs w:val="21"/>
              </w:rPr>
            </w:pPr>
            <w:r>
              <w:rPr>
                <w:rFonts w:hint="eastAsia" w:ascii="宋体" w:hAnsi="宋体" w:eastAsia="宋体" w:cs="宋体"/>
                <w:b/>
                <w:bCs/>
                <w:color w:val="auto"/>
                <w:kern w:val="0"/>
                <w:szCs w:val="21"/>
              </w:rPr>
              <w:t>21</w:t>
            </w:r>
          </w:p>
        </w:tc>
        <w:tc>
          <w:tcPr>
            <w:tcW w:w="11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b/>
                <w:bCs/>
                <w:color w:val="auto"/>
                <w:kern w:val="0"/>
                <w:szCs w:val="21"/>
              </w:rPr>
            </w:pPr>
          </w:p>
        </w:tc>
        <w:tc>
          <w:tcPr>
            <w:tcW w:w="1057"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共用设施设备管理和运行状况</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设施设备专业管理人员配置合理，岗位责任明确；</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一项不符合扣0.5分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8"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建立设施设备总账、台账、设备卡，设施设备标志齐全、规范；</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设施设备运行、维护、保养和检查等管理制度健全；</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制定并实施年、季、月度设施设备维护、保养计划；</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33"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5</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制定并实施日常设施设备检修、巡视、保养、紧急情况处理等制度；</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9"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6</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制定并实施维修工具、备品、备件和化学品等存放和管理制度；</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7</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制定并实施专业外包合同全程监管制度；</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9"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8</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操作人员熟练掌握、严格执行设施设备操作规程及保养规范。</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4"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室外共用管线、管道和道路管理</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室外共用管线整齐有序；</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一项不符合扣0.5分，一处不符合扣0.2分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排水排污管道通畅；</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56"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雨水井、化粪池定期巡检、疏通与清掏，无堵塞、外溢现象；</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道路通畅，路面整洁平整，路面井盖无缺损、无丢失，井盖表面标志清晰。</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50"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设备机房管理</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2"/>
              </w:rPr>
            </w:pP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设备系统图、操作规程、岗位责任制度、应急预案流程图、特种作业人员资格证书等齐全，张贴于机房明显位置；</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一项不符合扣0.5分，一处不符合扣0.2分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设备管线标志清晰，仪器仪表运行正常、数据准确；</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49"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机房整洁、无渗漏、无积水、无杂物堆放，设备表面无积尘、无锈蚀，防鼠板、防鼠网材质</w:t>
            </w:r>
            <w:r>
              <w:rPr>
                <w:rFonts w:hint="eastAsia" w:ascii="宋体" w:hAnsi="宋体" w:cs="宋体"/>
                <w:color w:val="auto"/>
                <w:kern w:val="0"/>
                <w:szCs w:val="21"/>
                <w:lang w:eastAsia="zh-CN"/>
              </w:rPr>
              <w:t>及</w:t>
            </w:r>
            <w:r>
              <w:rPr>
                <w:rFonts w:hint="eastAsia" w:ascii="宋体" w:hAnsi="宋体" w:eastAsia="宋体" w:cs="宋体"/>
                <w:color w:val="auto"/>
                <w:kern w:val="0"/>
                <w:szCs w:val="21"/>
              </w:rPr>
              <w:t>规格，防鼠药物投放等符合规范要求；</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设备噪声符合规范要求，有环境要求的设备机房，温、湿度在规定范围内。</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46"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供电系统管理</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2"/>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管理制度与措施符合专业要求，执行严格，设备编号有序，运行、维修、保养、巡检记录完整；</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一项不符合扣0.5分，一处不符合扣0.2分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6"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受托管理高压供电设备的，变配电室安全警示牌配置齐全，检修检验和安全防护用具配置齐全，年检合格；</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后备电源设备定期检测，能够随时启用；</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公共照明正常，重要设备编号有序。</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315" w:firstLineChars="150"/>
              <w:textAlignment w:val="auto"/>
              <w:rPr>
                <w:rFonts w:hint="eastAsia" w:ascii="宋体" w:hAnsi="宋体" w:eastAsia="宋体" w:cs="宋体"/>
                <w:color w:val="auto"/>
                <w:kern w:val="0"/>
                <w:szCs w:val="21"/>
              </w:rPr>
            </w:pPr>
          </w:p>
          <w:p>
            <w:pPr>
              <w:keepNext w:val="0"/>
              <w:keepLines w:val="0"/>
              <w:pageBreakBefore w:val="0"/>
              <w:widowControl/>
              <w:kinsoku/>
              <w:wordWrap/>
              <w:overflowPunct/>
              <w:topLinePunct w:val="0"/>
              <w:autoSpaceDE/>
              <w:autoSpaceDN/>
              <w:bidi w:val="0"/>
              <w:adjustRightInd/>
              <w:snapToGrid/>
              <w:spacing w:line="240" w:lineRule="auto"/>
              <w:ind w:firstLine="315" w:firstLineChars="150"/>
              <w:textAlignment w:val="auto"/>
              <w:rPr>
                <w:rFonts w:hint="eastAsia" w:ascii="宋体" w:hAnsi="宋体" w:eastAsia="宋体" w:cs="宋体"/>
                <w:color w:val="auto"/>
                <w:kern w:val="0"/>
                <w:szCs w:val="21"/>
              </w:rPr>
            </w:pP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弱电系统管理</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2"/>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系统设备配置齐全、运行正常、现场测试符合要求；</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一项不符合扣0.5分，一处不符合扣0.2分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01"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系统及子系统运行、维修、保养、巡检计划周全、记录完整；</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摄像监控图像清晰，按规定时间保存信息备查；</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中央控制室管理实行24小时专人值班制度。</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电梯系统管理</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2"/>
              </w:rPr>
            </w:pP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rPr>
            </w:pP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准用（合格）证、年检证明、紧急电话和乘客注意事项置于轿厢醒目位置；</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一项不符合扣0.5分，一处不符合扣0.2分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电梯维修保养合同规范，维保单位的条件符合规定；</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8"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电梯机房通风、照明情况良好，配有平层标志线，专业工具齐全；</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2"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电梯轿厢、井道内保持清洁，轿厢广告设置有序，无乱贴、乱画；</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5</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电梯运行平稳，维修、保养、检修记录完整；</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6</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电梯按合同约定时间运行，出现故障或险情，维修人员接到报修后20分钟内到达现场。</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给排水系统管理</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2"/>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二次供水水质定期检测，符合卫生标准；</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一项不符合扣0.5分，一处不符合扣0.2分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给排水及中水系统设备完好、运行正常，日检查和月、季、年保养制度完善；</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水箱加盖双锁，周边无污染源，定期清洗、消毒，检查记录完整；</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31"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水泵、阀门、管网等设备名称、流向、运行状态标志清晰，无锈蚀、无跑冒滴漏、无污染。</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避雷系统管理</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配置避雷设施位置平面图；</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一项不符合扣0.5分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避雷设施定期检查、维护，记录完整。</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67"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消防系统管理</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消防设施设置平面图、火警疏散示意图按幢设置在楼层明显位置；</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一项不符合扣0.5分，一处不符合扣0.2分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消防监控系统运行良好，自动和手动报警设施启动正常；</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24"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消火栓柜、防火卷帘、防火门、灭火器、疏散指示灯、应急灯及应急工具等消防设施设备完好，并定期组织检验、保养；</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6"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消防水泵、管网、闸门等设备运行正常，测试、维修、保养记录完整；</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5</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安全疏散通道畅通，疏散标志和示意图设置合理、醒目；</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6</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区域消防通道畅通，无杂物堆放，无违章占用</w:t>
            </w:r>
            <w:r>
              <w:rPr>
                <w:rFonts w:hint="eastAsia" w:ascii="宋体" w:hAnsi="宋体" w:eastAsia="宋体" w:cs="宋体"/>
                <w:color w:val="auto"/>
                <w:kern w:val="0"/>
                <w:szCs w:val="21"/>
                <w:lang w:eastAsia="zh-CN"/>
              </w:rPr>
              <w:t>，如有</w:t>
            </w:r>
            <w:r>
              <w:rPr>
                <w:rFonts w:hint="eastAsia" w:ascii="宋体" w:hAnsi="宋体" w:eastAsia="宋体" w:cs="宋体"/>
                <w:color w:val="auto"/>
                <w:kern w:val="0"/>
                <w:szCs w:val="21"/>
              </w:rPr>
              <w:t>微型消防站各类器材保持随时可使用</w:t>
            </w:r>
            <w:r>
              <w:rPr>
                <w:rFonts w:hint="eastAsia" w:ascii="宋体" w:hAnsi="宋体" w:eastAsia="宋体" w:cs="宋体"/>
                <w:color w:val="auto"/>
                <w:kern w:val="0"/>
                <w:szCs w:val="21"/>
                <w:lang w:eastAsia="zh-CN"/>
              </w:rPr>
              <w:t>。</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5353" w:type="dxa"/>
            <w:gridSpan w:val="2"/>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bCs/>
                <w:color w:val="auto"/>
                <w:kern w:val="0"/>
                <w:szCs w:val="21"/>
              </w:rPr>
            </w:pPr>
            <w:r>
              <w:rPr>
                <w:rFonts w:hint="eastAsia" w:ascii="宋体" w:hAnsi="宋体" w:eastAsia="宋体" w:cs="宋体"/>
                <w:b/>
                <w:bCs/>
                <w:color w:val="auto"/>
                <w:kern w:val="0"/>
                <w:szCs w:val="21"/>
              </w:rPr>
              <w:t>四、公共秩序维护</w:t>
            </w:r>
          </w:p>
        </w:tc>
        <w:tc>
          <w:tcPr>
            <w:tcW w:w="655"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kern w:val="0"/>
                <w:szCs w:val="21"/>
              </w:rPr>
            </w:pPr>
            <w:r>
              <w:rPr>
                <w:rFonts w:hint="eastAsia" w:ascii="宋体" w:hAnsi="宋体" w:eastAsia="宋体" w:cs="宋体"/>
                <w:b/>
                <w:bCs/>
                <w:color w:val="auto"/>
                <w:kern w:val="0"/>
                <w:szCs w:val="21"/>
              </w:rPr>
              <w:t>12</w:t>
            </w:r>
          </w:p>
        </w:tc>
        <w:tc>
          <w:tcPr>
            <w:tcW w:w="11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b/>
                <w:bCs/>
                <w:color w:val="auto"/>
                <w:kern w:val="0"/>
                <w:szCs w:val="21"/>
              </w:rPr>
            </w:pPr>
          </w:p>
        </w:tc>
        <w:tc>
          <w:tcPr>
            <w:tcW w:w="1057"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4"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秩序维护管理</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实行封闭式管理的小区，对外来人员、车辆和物品进出实行管理；</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5</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一项不符合扣1分，一处不符合扣0.2分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2"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监控设施和门禁系统运行良好，监控记录保存符合规定要求；</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安全监控室及主出入口实行24小时值班；</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秩序维护人员配置合理，岗位责任明确；</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9"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5</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安全标志设置合理，对可能危及人身安全的地点和设施设备，有明显警示标志和防范措施。</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交通秩序管理</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公示停车场管理规定和停车收费标准和紧急联系电话；</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一项不符合扣0.5分，一处不符合扣0.2分</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如发现单元楼内非机动车充电或其他临时接线飞线充电的扣2</w:t>
            </w:r>
            <w:r>
              <w:rPr>
                <w:rFonts w:hint="eastAsia" w:ascii="宋体" w:hAnsi="宋体" w:eastAsia="宋体" w:cs="宋体"/>
                <w:color w:val="auto"/>
                <w:kern w:val="0"/>
                <w:szCs w:val="21"/>
                <w:lang w:eastAsia="zh-CN"/>
              </w:rPr>
              <w:t>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6"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停车场、停车位标志规范、清晰，车辆行驶路线设置合理、路线清晰；</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固定停放车辆签订停车服务协议，明确相关权利义务；</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车辆进出发出入证，登记及时，记录完整；</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5</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车辆进出道闸、立体停车设施运行良好，维修养护及时；</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6</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机动、非机动车辆停放有序、无乱停乱放现象，设有集中充电设施；</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7</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停车场、库定时巡视检查，高峰时进行车辆秩序引导；</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8</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发现交通堵塞及时疏导，发生交通事故及时报告有关部门。</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消防安全管理</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制定消防安全制度，消防安全操作规程；</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一项不符合扣0.5分，一处不符合扣0.2分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实行消防安全责任制，明确消防安全责任人；</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消防中控室实行24小时专人值班制度，值班记录完整；</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消防安全定期巡视检查，消防安全隐患及时整改；</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5</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定期开展消防安全宣传，进行消防知识培训；</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6</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消防演练每年不少于两次，积极动员业主参与。</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6" w:hRule="atLeast"/>
        </w:trPr>
        <w:tc>
          <w:tcPr>
            <w:tcW w:w="5353" w:type="dxa"/>
            <w:gridSpan w:val="2"/>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bCs/>
                <w:color w:val="auto"/>
                <w:kern w:val="0"/>
                <w:szCs w:val="21"/>
              </w:rPr>
            </w:pPr>
            <w:r>
              <w:rPr>
                <w:rFonts w:hint="eastAsia" w:ascii="宋体" w:hAnsi="宋体" w:eastAsia="宋体" w:cs="宋体"/>
                <w:b/>
                <w:bCs/>
                <w:color w:val="auto"/>
                <w:kern w:val="0"/>
                <w:szCs w:val="21"/>
              </w:rPr>
              <w:t>五、环境管理服务</w:t>
            </w:r>
          </w:p>
        </w:tc>
        <w:tc>
          <w:tcPr>
            <w:tcW w:w="655"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kern w:val="0"/>
                <w:szCs w:val="21"/>
                <w:lang w:eastAsia="zh-CN"/>
              </w:rPr>
            </w:pPr>
            <w:r>
              <w:rPr>
                <w:rFonts w:hint="eastAsia" w:ascii="宋体" w:hAnsi="宋体" w:eastAsia="宋体" w:cs="宋体"/>
                <w:b/>
                <w:bCs/>
                <w:color w:val="auto"/>
                <w:kern w:val="0"/>
                <w:szCs w:val="21"/>
              </w:rPr>
              <w:t>1</w:t>
            </w:r>
            <w:r>
              <w:rPr>
                <w:rFonts w:hint="eastAsia" w:ascii="宋体" w:hAnsi="宋体" w:cs="宋体"/>
                <w:b/>
                <w:bCs/>
                <w:color w:val="auto"/>
                <w:kern w:val="0"/>
                <w:szCs w:val="21"/>
                <w:lang w:val="en-US" w:eastAsia="zh-CN"/>
              </w:rPr>
              <w:t>5</w:t>
            </w:r>
          </w:p>
        </w:tc>
        <w:tc>
          <w:tcPr>
            <w:tcW w:w="11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b/>
                <w:bCs/>
                <w:color w:val="auto"/>
                <w:kern w:val="0"/>
                <w:szCs w:val="21"/>
              </w:rPr>
            </w:pPr>
          </w:p>
        </w:tc>
        <w:tc>
          <w:tcPr>
            <w:tcW w:w="1057"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210" w:firstLineChars="100"/>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保洁服务</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保洁人员配置合理，责任区域明确；</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lang w:eastAsia="zh-CN"/>
              </w:rPr>
            </w:pPr>
            <w:r>
              <w:rPr>
                <w:rFonts w:hint="eastAsia" w:ascii="宋体" w:hAnsi="宋体" w:cs="宋体"/>
                <w:color w:val="auto"/>
                <w:kern w:val="0"/>
                <w:szCs w:val="21"/>
                <w:lang w:val="en-US" w:eastAsia="zh-CN"/>
              </w:rPr>
              <w:t>7</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lang w:eastAsia="zh-CN"/>
              </w:rPr>
            </w:pPr>
            <w:r>
              <w:rPr>
                <w:rFonts w:hint="eastAsia" w:ascii="宋体" w:hAnsi="宋体" w:eastAsia="宋体" w:cs="宋体"/>
                <w:color w:val="auto"/>
                <w:kern w:val="0"/>
                <w:szCs w:val="21"/>
              </w:rPr>
              <w:t>一项不符合扣</w:t>
            </w:r>
            <w:r>
              <w:rPr>
                <w:rFonts w:hint="eastAsia" w:ascii="宋体" w:hAnsi="宋体" w:cs="宋体"/>
                <w:color w:val="auto"/>
                <w:kern w:val="0"/>
                <w:szCs w:val="21"/>
                <w:lang w:val="en-US" w:eastAsia="zh-CN"/>
              </w:rPr>
              <w:t>0.7</w:t>
            </w:r>
            <w:r>
              <w:rPr>
                <w:rFonts w:hint="eastAsia" w:ascii="宋体" w:hAnsi="宋体" w:eastAsia="宋体" w:cs="宋体"/>
                <w:color w:val="auto"/>
                <w:kern w:val="0"/>
                <w:szCs w:val="21"/>
              </w:rPr>
              <w:t>分，一处不符合扣0.2分</w:t>
            </w:r>
            <w:r>
              <w:rPr>
                <w:rFonts w:hint="eastAsia" w:ascii="宋体" w:hAnsi="宋体" w:eastAsia="宋体" w:cs="宋体"/>
                <w:color w:val="auto"/>
                <w:kern w:val="0"/>
                <w:szCs w:val="21"/>
                <w:lang w:eastAsia="zh-CN"/>
              </w:rPr>
              <w:t>，如在疫情期间未消杀或无消杀记录的扣</w:t>
            </w:r>
            <w:r>
              <w:rPr>
                <w:rFonts w:hint="eastAsia" w:ascii="宋体" w:hAnsi="宋体" w:eastAsia="宋体" w:cs="宋体"/>
                <w:color w:val="auto"/>
                <w:kern w:val="0"/>
                <w:szCs w:val="21"/>
                <w:lang w:val="en-US" w:eastAsia="zh-CN"/>
              </w:rPr>
              <w:t>2</w:t>
            </w:r>
            <w:r>
              <w:rPr>
                <w:rFonts w:hint="eastAsia" w:ascii="宋体" w:hAnsi="宋体" w:eastAsia="宋体" w:cs="宋体"/>
                <w:color w:val="auto"/>
                <w:kern w:val="0"/>
                <w:szCs w:val="21"/>
                <w:lang w:eastAsia="zh-CN"/>
              </w:rPr>
              <w:t>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3"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制定并严格执行保洁用品、范围、流程、频次、效果及评价等服务标准；</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垃圾实行分类管理，日产日清；</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保洁设施设备配置合理，工具台账完善；</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5</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定期对保洁设施设备进行卫生消毒；</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9"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6</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管理区域内道路、绿地、停车场、文体活动区域等共用场地无纸屑、烟头、塑料袋等废弃物；</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7</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房屋共用部位及共用设施设备保持清洁；</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8</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及时清理公共场地、道路的积雪、积水；</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9</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防治鼠害、虫害等有计划，有措施，有记录；</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10</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对公共区域宠物活动实施有效管理。</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绿化养护管理</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绿化养护人员配置合理，责任区域明确；</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8</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一项不符合扣1分，一处不符合扣0.2分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制定并落实绿化养护计划；</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绿化图纸、苗木清单等资料齐全，设备、工具台帐完善；</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醒目处设置爱护绿化提示标志，重点树木品种实行标牌管理；</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1"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5</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定期组织浇灌、施肥、松土和喷药，提前做好防涝和防冻工作；</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6</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绿化作业安全防护措施得当；</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09"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7</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各类乔、灌、草等植物长势良好，修剪整齐美观，无折损，无病虫害、斑秃现象；</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78"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8</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绿地无破坏、践踏、占用现象，无毁绿种菜现象，树木无悬挂物及晾晒物品。</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5" w:hRule="atLeast"/>
        </w:trPr>
        <w:tc>
          <w:tcPr>
            <w:tcW w:w="5353" w:type="dxa"/>
            <w:gridSpan w:val="2"/>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bCs/>
                <w:color w:val="auto"/>
                <w:kern w:val="0"/>
                <w:szCs w:val="21"/>
              </w:rPr>
            </w:pPr>
            <w:r>
              <w:rPr>
                <w:rFonts w:hint="eastAsia" w:ascii="宋体" w:hAnsi="宋体" w:eastAsia="宋体" w:cs="宋体"/>
                <w:b/>
                <w:bCs/>
                <w:color w:val="auto"/>
                <w:kern w:val="0"/>
                <w:szCs w:val="21"/>
              </w:rPr>
              <w:t>六、</w:t>
            </w:r>
            <w:r>
              <w:rPr>
                <w:rFonts w:hint="eastAsia" w:ascii="宋体" w:hAnsi="宋体" w:eastAsia="宋体" w:cs="宋体"/>
                <w:b/>
                <w:bCs/>
                <w:color w:val="auto"/>
                <w:kern w:val="0"/>
                <w:szCs w:val="21"/>
                <w:lang w:eastAsia="zh-CN"/>
              </w:rPr>
              <w:t>信息公示、</w:t>
            </w:r>
            <w:r>
              <w:rPr>
                <w:rFonts w:hint="eastAsia" w:ascii="宋体" w:hAnsi="宋体" w:eastAsia="宋体" w:cs="宋体"/>
                <w:b/>
                <w:bCs/>
                <w:color w:val="auto"/>
                <w:kern w:val="0"/>
                <w:szCs w:val="21"/>
              </w:rPr>
              <w:t>创新、效益与业主评价</w:t>
            </w:r>
          </w:p>
        </w:tc>
        <w:tc>
          <w:tcPr>
            <w:tcW w:w="655"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kern w:val="0"/>
                <w:szCs w:val="21"/>
                <w:lang w:eastAsia="zh-CN"/>
              </w:rPr>
            </w:pPr>
            <w:r>
              <w:rPr>
                <w:rFonts w:hint="eastAsia" w:ascii="宋体" w:hAnsi="宋体" w:eastAsia="宋体" w:cs="宋体"/>
                <w:b/>
                <w:bCs/>
                <w:color w:val="auto"/>
                <w:kern w:val="0"/>
                <w:szCs w:val="21"/>
              </w:rPr>
              <w:t>1</w:t>
            </w:r>
            <w:r>
              <w:rPr>
                <w:rFonts w:hint="eastAsia" w:ascii="宋体" w:hAnsi="宋体" w:cs="宋体"/>
                <w:b/>
                <w:bCs/>
                <w:color w:val="auto"/>
                <w:kern w:val="0"/>
                <w:szCs w:val="21"/>
                <w:lang w:val="en-US" w:eastAsia="zh-CN"/>
              </w:rPr>
              <w:t>3</w:t>
            </w:r>
          </w:p>
        </w:tc>
        <w:tc>
          <w:tcPr>
            <w:tcW w:w="11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b/>
                <w:bCs/>
                <w:color w:val="auto"/>
                <w:kern w:val="0"/>
                <w:szCs w:val="21"/>
              </w:rPr>
            </w:pPr>
          </w:p>
        </w:tc>
        <w:tc>
          <w:tcPr>
            <w:tcW w:w="1057"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1" w:hRule="atLeast"/>
        </w:trPr>
        <w:tc>
          <w:tcPr>
            <w:tcW w:w="2065"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210" w:firstLineChars="100"/>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物业服务收费等信息公示</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lang w:val="en-US" w:eastAsia="zh-CN"/>
              </w:rPr>
              <w:t>1.</w:t>
            </w:r>
            <w:r>
              <w:rPr>
                <w:rFonts w:hint="eastAsia" w:ascii="宋体" w:hAnsi="宋体" w:eastAsia="宋体" w:cs="宋体"/>
                <w:color w:val="auto"/>
                <w:kern w:val="0"/>
                <w:szCs w:val="21"/>
                <w:lang w:eastAsia="zh-CN"/>
              </w:rPr>
              <w:t>按照统一的信息公示模板</w:t>
            </w:r>
            <w:r>
              <w:rPr>
                <w:rFonts w:hint="eastAsia" w:ascii="宋体" w:hAnsi="宋体" w:eastAsia="宋体" w:cs="宋体"/>
                <w:color w:val="auto"/>
                <w:kern w:val="0"/>
                <w:szCs w:val="21"/>
              </w:rPr>
              <w:t>在物业区域内显著位置公示物业服务合同约定的服务内容、服务标准、收费项目、收费标准、收费方式等信息；</w:t>
            </w:r>
          </w:p>
        </w:tc>
        <w:tc>
          <w:tcPr>
            <w:tcW w:w="655" w:type="dxa"/>
            <w:vMerge w:val="restart"/>
            <w:tcBorders>
              <w:top w:val="single" w:color="auto" w:sz="8" w:space="0"/>
              <w:left w:val="single" w:color="auto" w:sz="8" w:space="0"/>
              <w:right w:val="single" w:color="auto" w:sz="8" w:space="0"/>
            </w:tcBorders>
            <w:noWrap w:val="0"/>
            <w:vAlign w:val="center"/>
          </w:tcPr>
          <w:p>
            <w:pPr>
              <w:bidi w:val="0"/>
              <w:spacing w:line="240" w:lineRule="auto"/>
              <w:jc w:val="center"/>
              <w:rPr>
                <w:rFonts w:hint="eastAsia" w:ascii="宋体" w:hAnsi="宋体" w:eastAsia="宋体" w:cs="宋体"/>
                <w:color w:val="auto"/>
                <w:kern w:val="0"/>
                <w:szCs w:val="21"/>
                <w:lang w:val="en-US" w:eastAsia="zh-CN"/>
              </w:rPr>
            </w:pPr>
            <w:r>
              <w:rPr>
                <w:rFonts w:hint="eastAsia"/>
                <w:color w:val="auto"/>
                <w:lang w:val="en-US" w:eastAsia="zh-CN"/>
              </w:rPr>
              <w:t>8</w:t>
            </w:r>
          </w:p>
        </w:tc>
        <w:tc>
          <w:tcPr>
            <w:tcW w:w="1188" w:type="dxa"/>
            <w:vMerge w:val="restart"/>
            <w:tcBorders>
              <w:top w:val="single" w:color="auto" w:sz="8" w:space="0"/>
              <w:left w:val="single" w:color="auto" w:sz="8" w:space="0"/>
              <w:right w:val="single" w:color="auto" w:sz="8" w:space="0"/>
            </w:tcBorders>
            <w:noWrap w:val="0"/>
            <w:vAlign w:val="center"/>
          </w:tcPr>
          <w:p>
            <w:pPr>
              <w:bidi w:val="0"/>
              <w:spacing w:line="240" w:lineRule="auto"/>
              <w:rPr>
                <w:rFonts w:hint="eastAsia" w:ascii="宋体" w:hAnsi="宋体" w:eastAsia="宋体" w:cs="宋体"/>
                <w:color w:val="auto"/>
                <w:kern w:val="0"/>
                <w:szCs w:val="21"/>
              </w:rPr>
            </w:pPr>
            <w:r>
              <w:rPr>
                <w:rFonts w:hint="eastAsia"/>
                <w:color w:val="auto"/>
              </w:rPr>
              <w:t>一项不符合扣</w:t>
            </w:r>
            <w:r>
              <w:rPr>
                <w:rFonts w:hint="eastAsia"/>
                <w:color w:val="auto"/>
                <w:lang w:val="en-US" w:eastAsia="zh-CN"/>
              </w:rPr>
              <w:t>2</w:t>
            </w:r>
            <w:r>
              <w:rPr>
                <w:rFonts w:hint="eastAsia"/>
                <w:color w:val="auto"/>
              </w:rPr>
              <w:t>分</w:t>
            </w:r>
          </w:p>
        </w:tc>
        <w:tc>
          <w:tcPr>
            <w:tcW w:w="1057"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1" w:hRule="atLeast"/>
        </w:trPr>
        <w:tc>
          <w:tcPr>
            <w:tcW w:w="2065"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lang w:val="en-US" w:eastAsia="zh-CN"/>
              </w:rPr>
              <w:t>2.</w:t>
            </w:r>
            <w:r>
              <w:rPr>
                <w:rFonts w:hint="eastAsia" w:ascii="宋体" w:hAnsi="宋体" w:eastAsia="宋体" w:cs="宋体"/>
                <w:color w:val="auto"/>
                <w:kern w:val="0"/>
                <w:szCs w:val="21"/>
              </w:rPr>
              <w:t>受托作为公共收益管理人，按要求定期公示物业共用部位、共用设施设备经营所得收益、支出情况，</w:t>
            </w:r>
            <w:r>
              <w:rPr>
                <w:rFonts w:hint="eastAsia" w:ascii="宋体" w:hAnsi="宋体" w:eastAsia="宋体" w:cs="宋体"/>
                <w:color w:val="auto"/>
                <w:kern w:val="0"/>
                <w:szCs w:val="21"/>
                <w:lang w:eastAsia="zh-CN"/>
              </w:rPr>
              <w:t>不存在</w:t>
            </w:r>
            <w:r>
              <w:rPr>
                <w:rFonts w:hint="eastAsia" w:ascii="宋体" w:hAnsi="宋体" w:eastAsia="宋体" w:cs="宋体"/>
                <w:color w:val="auto"/>
                <w:kern w:val="0"/>
                <w:szCs w:val="21"/>
              </w:rPr>
              <w:t>擅自允许他人利用共用部位、共用设施设备进行广告、宣传、经营等活动</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违规擅自使用公共收益的问题</w:t>
            </w:r>
            <w:r>
              <w:rPr>
                <w:rFonts w:hint="eastAsia" w:ascii="宋体" w:hAnsi="宋体" w:eastAsia="宋体" w:cs="宋体"/>
                <w:color w:val="auto"/>
                <w:kern w:val="0"/>
                <w:szCs w:val="21"/>
                <w:lang w:eastAsia="zh-CN"/>
              </w:rPr>
              <w:t>；</w:t>
            </w:r>
          </w:p>
        </w:tc>
        <w:tc>
          <w:tcPr>
            <w:tcW w:w="655"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1188"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1057"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1" w:hRule="atLeast"/>
        </w:trPr>
        <w:tc>
          <w:tcPr>
            <w:tcW w:w="2065"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lang w:val="en-US" w:eastAsia="zh-CN"/>
              </w:rPr>
              <w:t>3.按要求公示公共水电分摊费用情况，受委托代收水电气暖等费用时，不存在违法加价或违规向业主收取手续费的情况；</w:t>
            </w:r>
          </w:p>
        </w:tc>
        <w:tc>
          <w:tcPr>
            <w:tcW w:w="655"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1188"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1057"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1" w:hRule="atLeast"/>
        </w:trPr>
        <w:tc>
          <w:tcPr>
            <w:tcW w:w="2065" w:type="dxa"/>
            <w:vMerge w:val="continue"/>
            <w:tcBorders>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lang w:val="en-US" w:eastAsia="zh-CN"/>
              </w:rPr>
              <w:t>4.不存在擅自提高物业服务收费标准，违规收取不合理费用的问题。</w:t>
            </w:r>
          </w:p>
        </w:tc>
        <w:tc>
          <w:tcPr>
            <w:tcW w:w="655" w:type="dxa"/>
            <w:vMerge w:val="continue"/>
            <w:tcBorders>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1188" w:type="dxa"/>
            <w:vMerge w:val="continue"/>
            <w:tcBorders>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1057" w:type="dxa"/>
            <w:vMerge w:val="continue"/>
            <w:tcBorders>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continue"/>
            <w:tcBorders>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65"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210" w:firstLineChars="100"/>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服务创新</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建立并运行计算机辅助管理系统，运用社区网络、智能技术等信息化手段及其最新科技成果开展管理服务工作；</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lang w:eastAsia="zh-CN"/>
              </w:rPr>
            </w:pPr>
            <w:r>
              <w:rPr>
                <w:rFonts w:hint="eastAsia" w:ascii="宋体" w:hAnsi="宋体" w:eastAsia="宋体" w:cs="宋体"/>
                <w:color w:val="auto"/>
                <w:kern w:val="0"/>
                <w:szCs w:val="21"/>
                <w:lang w:val="en-US" w:eastAsia="zh-CN"/>
              </w:rPr>
              <w:t>2</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w:t>
            </w:r>
            <w:r>
              <w:rPr>
                <w:rFonts w:hint="eastAsia" w:ascii="宋体" w:hAnsi="宋体" w:eastAsia="宋体" w:cs="宋体"/>
                <w:color w:val="auto"/>
                <w:kern w:val="0"/>
                <w:szCs w:val="21"/>
                <w:lang w:val="en-US" w:eastAsia="zh-CN"/>
              </w:rPr>
              <w:t>0.5</w:t>
            </w:r>
            <w:r>
              <w:rPr>
                <w:rFonts w:hint="eastAsia" w:ascii="宋体" w:hAnsi="宋体" w:eastAsia="宋体" w:cs="宋体"/>
                <w:color w:val="auto"/>
                <w:kern w:val="0"/>
                <w:szCs w:val="21"/>
              </w:rPr>
              <w:t>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建立并运行服务质量管理控制系统，运用先进管理工具实施物业服务全过程管控；</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6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制定并实施节能减排计划和方案，运用技术改造和管理创新等手段节约公用能源资源消耗，减少污染物排放；</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65"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建立并推行新型商业模式，通过提供物业资产经营管理服务和住户生活配套服务等方式，满足业主的个性化需求。</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5"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210" w:firstLineChars="100"/>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经营效益</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物业服务费收缴率达85%以上；</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lang w:eastAsia="zh-CN"/>
              </w:rPr>
            </w:pPr>
            <w:r>
              <w:rPr>
                <w:rFonts w:hint="eastAsia" w:ascii="宋体" w:hAnsi="宋体" w:eastAsia="宋体" w:cs="宋体"/>
                <w:color w:val="auto"/>
                <w:kern w:val="0"/>
                <w:szCs w:val="21"/>
                <w:lang w:val="en-US" w:eastAsia="zh-CN"/>
              </w:rPr>
              <w:t>1</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w:t>
            </w:r>
            <w:r>
              <w:rPr>
                <w:rFonts w:hint="eastAsia" w:ascii="宋体" w:hAnsi="宋体" w:eastAsia="宋体" w:cs="宋体"/>
                <w:color w:val="auto"/>
                <w:kern w:val="0"/>
                <w:szCs w:val="21"/>
                <w:lang w:val="en-US" w:eastAsia="zh-CN"/>
              </w:rPr>
              <w:t>0.5</w:t>
            </w:r>
            <w:r>
              <w:rPr>
                <w:rFonts w:hint="eastAsia" w:ascii="宋体" w:hAnsi="宋体" w:eastAsia="宋体" w:cs="宋体"/>
                <w:color w:val="auto"/>
                <w:kern w:val="0"/>
                <w:szCs w:val="21"/>
              </w:rPr>
              <w:t>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项目两个年度以上持续盈利，经营状况良好。</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20" w:hRule="atLeast"/>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210" w:firstLineChars="100"/>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业主满意</w:t>
            </w: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每年至少开展一次业主满意率调查，调查覆盖率不低于80%，具备条件的，可邀请第三方机构开展业主满意度测评；</w:t>
            </w:r>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lang w:eastAsia="zh-CN"/>
              </w:rPr>
            </w:pPr>
            <w:r>
              <w:rPr>
                <w:rFonts w:hint="eastAsia" w:ascii="宋体" w:hAnsi="宋体" w:eastAsia="宋体" w:cs="宋体"/>
                <w:color w:val="auto"/>
                <w:kern w:val="0"/>
                <w:szCs w:val="21"/>
                <w:lang w:val="en-US" w:eastAsia="zh-CN"/>
              </w:rPr>
              <w:t>2</w:t>
            </w:r>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一项不符合扣</w:t>
            </w:r>
            <w:r>
              <w:rPr>
                <w:rFonts w:hint="eastAsia" w:ascii="宋体" w:hAnsi="宋体" w:eastAsia="宋体" w:cs="宋体"/>
                <w:color w:val="auto"/>
                <w:kern w:val="0"/>
                <w:szCs w:val="21"/>
                <w:lang w:val="en-US" w:eastAsia="zh-CN"/>
              </w:rPr>
              <w:t>0.5</w:t>
            </w:r>
            <w:r>
              <w:rPr>
                <w:rFonts w:hint="eastAsia" w:ascii="宋体" w:hAnsi="宋体" w:eastAsia="宋体" w:cs="宋体"/>
                <w:color w:val="auto"/>
                <w:kern w:val="0"/>
                <w:szCs w:val="21"/>
              </w:rPr>
              <w:t>分</w:t>
            </w:r>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9"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业主满意率应达85%以上；</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0"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满意率调查和满意度测评的内容应涵盖本标准的内容及物业服务合同的约定；</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63" w:hRule="atLeast"/>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4</w:t>
            </w:r>
            <w:r>
              <w:rPr>
                <w:rFonts w:hint="eastAsia" w:ascii="宋体" w:hAnsi="宋体" w:cs="宋体"/>
                <w:color w:val="auto"/>
                <w:kern w:val="0"/>
                <w:szCs w:val="21"/>
                <w:lang w:val="en-US" w:eastAsia="zh-CN"/>
              </w:rPr>
              <w:t>.</w:t>
            </w:r>
            <w:r>
              <w:rPr>
                <w:rFonts w:hint="eastAsia" w:ascii="宋体" w:hAnsi="宋体" w:eastAsia="宋体" w:cs="宋体"/>
                <w:color w:val="auto"/>
                <w:kern w:val="0"/>
                <w:szCs w:val="21"/>
              </w:rPr>
              <w:t>调查和测评结果有书面报告并向业主公示，调查和测评发现的问题持续改进，改进结果向业主公示。</w:t>
            </w:r>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rPr>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08" w:hRule="atLeast"/>
        </w:trPr>
        <w:tc>
          <w:tcPr>
            <w:tcW w:w="2065"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Cs w:val="21"/>
                <w:lang w:eastAsia="zh-CN"/>
              </w:rPr>
            </w:pPr>
            <w:r>
              <w:rPr>
                <w:rFonts w:hint="eastAsia" w:ascii="宋体" w:hAnsi="宋体" w:eastAsia="宋体" w:cs="宋体"/>
                <w:b/>
                <w:bCs/>
                <w:color w:val="auto"/>
                <w:kern w:val="0"/>
                <w:sz w:val="30"/>
                <w:szCs w:val="30"/>
                <w:lang w:eastAsia="zh-CN"/>
              </w:rPr>
              <w:t>总计</w:t>
            </w:r>
          </w:p>
        </w:tc>
        <w:tc>
          <w:tcPr>
            <w:tcW w:w="5131" w:type="dxa"/>
            <w:gridSpan w:val="3"/>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1057"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c>
          <w:tcPr>
            <w:tcW w:w="66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Cs w:val="21"/>
              </w:rPr>
            </w:pPr>
          </w:p>
        </w:tc>
      </w:tr>
    </w:tbl>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36"/>
          <w:szCs w:val="36"/>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黑体" w:eastAsia="黑体"/>
          <w:color w:val="auto"/>
          <w:sz w:val="32"/>
          <w:szCs w:val="32"/>
        </w:rPr>
      </w:pPr>
    </w:p>
    <w:p>
      <w:pPr>
        <w:keepNext w:val="0"/>
        <w:keepLines w:val="0"/>
        <w:pageBreakBefore w:val="0"/>
        <w:kinsoku/>
        <w:wordWrap/>
        <w:overflowPunct/>
        <w:topLinePunct w:val="0"/>
        <w:autoSpaceDE/>
        <w:autoSpaceDN/>
        <w:bidi w:val="0"/>
        <w:adjustRightInd/>
        <w:snapToGrid/>
        <w:spacing w:line="560" w:lineRule="exact"/>
        <w:textAlignment w:val="auto"/>
        <w:rPr>
          <w:rFonts w:ascii="仿宋_GB2312" w:eastAsia="仿宋_GB2312"/>
          <w:color w:val="auto"/>
          <w:sz w:val="32"/>
          <w:szCs w:val="32"/>
        </w:rPr>
      </w:pPr>
    </w:p>
    <w:sectPr>
      <w:headerReference r:id="rId3" w:type="default"/>
      <w:footerReference r:id="rId4" w:type="default"/>
      <w:pgSz w:w="11906" w:h="16838"/>
      <w:pgMar w:top="2154" w:right="1440"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eastAsia="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yZmMyZWQzODEzNmYyMzRlNDQ1OTFiNWFkZDcyM2IifQ=="/>
  </w:docVars>
  <w:rsids>
    <w:rsidRoot w:val="09D72F95"/>
    <w:rsid w:val="003F06F0"/>
    <w:rsid w:val="004102C7"/>
    <w:rsid w:val="004F54F5"/>
    <w:rsid w:val="00B06ACE"/>
    <w:rsid w:val="00DB5D17"/>
    <w:rsid w:val="00FD4DDB"/>
    <w:rsid w:val="01E40F4D"/>
    <w:rsid w:val="02043D25"/>
    <w:rsid w:val="023A0878"/>
    <w:rsid w:val="02751E73"/>
    <w:rsid w:val="02FA01DD"/>
    <w:rsid w:val="03332816"/>
    <w:rsid w:val="03940684"/>
    <w:rsid w:val="03AF1F96"/>
    <w:rsid w:val="04367820"/>
    <w:rsid w:val="04B30D71"/>
    <w:rsid w:val="06657B27"/>
    <w:rsid w:val="071F5A1B"/>
    <w:rsid w:val="074905CF"/>
    <w:rsid w:val="075C0635"/>
    <w:rsid w:val="07D94F3A"/>
    <w:rsid w:val="07F053BE"/>
    <w:rsid w:val="08245283"/>
    <w:rsid w:val="08863DE5"/>
    <w:rsid w:val="09BA2FF5"/>
    <w:rsid w:val="09CD27F9"/>
    <w:rsid w:val="09D72F95"/>
    <w:rsid w:val="0A7324B1"/>
    <w:rsid w:val="0A99092D"/>
    <w:rsid w:val="0AAF4BBC"/>
    <w:rsid w:val="0B206622"/>
    <w:rsid w:val="0B4338DC"/>
    <w:rsid w:val="0C087537"/>
    <w:rsid w:val="0C5C283E"/>
    <w:rsid w:val="0C774366"/>
    <w:rsid w:val="0D48030E"/>
    <w:rsid w:val="0E30227F"/>
    <w:rsid w:val="0E6811FB"/>
    <w:rsid w:val="0ED038B9"/>
    <w:rsid w:val="102652F8"/>
    <w:rsid w:val="112D6470"/>
    <w:rsid w:val="11E018E6"/>
    <w:rsid w:val="136F217B"/>
    <w:rsid w:val="1391377D"/>
    <w:rsid w:val="15C71183"/>
    <w:rsid w:val="17512E8F"/>
    <w:rsid w:val="1893752A"/>
    <w:rsid w:val="197F66BF"/>
    <w:rsid w:val="1A1C6244"/>
    <w:rsid w:val="1A283A3C"/>
    <w:rsid w:val="1A566424"/>
    <w:rsid w:val="1A9943C1"/>
    <w:rsid w:val="1ACD58E4"/>
    <w:rsid w:val="1AE577AA"/>
    <w:rsid w:val="1B5F3599"/>
    <w:rsid w:val="1B6F3C5C"/>
    <w:rsid w:val="1BE06E60"/>
    <w:rsid w:val="1BF43E3E"/>
    <w:rsid w:val="1C0F5D22"/>
    <w:rsid w:val="1D5C5844"/>
    <w:rsid w:val="1E5E7F9A"/>
    <w:rsid w:val="1FE665CC"/>
    <w:rsid w:val="21801020"/>
    <w:rsid w:val="21BE7344"/>
    <w:rsid w:val="23310F79"/>
    <w:rsid w:val="23AB093E"/>
    <w:rsid w:val="23B52DF1"/>
    <w:rsid w:val="26F33F34"/>
    <w:rsid w:val="29752DE8"/>
    <w:rsid w:val="29E50706"/>
    <w:rsid w:val="2A027C77"/>
    <w:rsid w:val="2B16150C"/>
    <w:rsid w:val="2BBB0851"/>
    <w:rsid w:val="2C7244F6"/>
    <w:rsid w:val="2E2E25E9"/>
    <w:rsid w:val="2EBC4796"/>
    <w:rsid w:val="2EE25305"/>
    <w:rsid w:val="31411668"/>
    <w:rsid w:val="32210A55"/>
    <w:rsid w:val="327708BF"/>
    <w:rsid w:val="335F3A86"/>
    <w:rsid w:val="33716171"/>
    <w:rsid w:val="348B6E58"/>
    <w:rsid w:val="351708AC"/>
    <w:rsid w:val="352F4493"/>
    <w:rsid w:val="3585369D"/>
    <w:rsid w:val="358C0256"/>
    <w:rsid w:val="36B245BF"/>
    <w:rsid w:val="36E55BB6"/>
    <w:rsid w:val="37E7536F"/>
    <w:rsid w:val="3874379C"/>
    <w:rsid w:val="38E25120"/>
    <w:rsid w:val="3B0E0152"/>
    <w:rsid w:val="3B9F6884"/>
    <w:rsid w:val="3C674F50"/>
    <w:rsid w:val="3CE83F28"/>
    <w:rsid w:val="3CF82507"/>
    <w:rsid w:val="3DC851E2"/>
    <w:rsid w:val="3DF16EC7"/>
    <w:rsid w:val="3E8D4533"/>
    <w:rsid w:val="3EA65267"/>
    <w:rsid w:val="403F0454"/>
    <w:rsid w:val="404E7C17"/>
    <w:rsid w:val="41E07E89"/>
    <w:rsid w:val="41E579D9"/>
    <w:rsid w:val="42CD4645"/>
    <w:rsid w:val="449A6D4F"/>
    <w:rsid w:val="450B70B2"/>
    <w:rsid w:val="45DF2AAB"/>
    <w:rsid w:val="46307B3F"/>
    <w:rsid w:val="464B23B3"/>
    <w:rsid w:val="46640532"/>
    <w:rsid w:val="46B2084D"/>
    <w:rsid w:val="473D114B"/>
    <w:rsid w:val="476D5407"/>
    <w:rsid w:val="495E0B01"/>
    <w:rsid w:val="4A154AAF"/>
    <w:rsid w:val="4ABC78A4"/>
    <w:rsid w:val="4AF312DE"/>
    <w:rsid w:val="4B1D3643"/>
    <w:rsid w:val="4C9D5D17"/>
    <w:rsid w:val="4CA01978"/>
    <w:rsid w:val="4D0C0BBA"/>
    <w:rsid w:val="4D1A2EA0"/>
    <w:rsid w:val="4E6D7C95"/>
    <w:rsid w:val="4F195FF9"/>
    <w:rsid w:val="4F7C6F18"/>
    <w:rsid w:val="510352C9"/>
    <w:rsid w:val="519D4AD5"/>
    <w:rsid w:val="52545F55"/>
    <w:rsid w:val="52B071D0"/>
    <w:rsid w:val="52C949E1"/>
    <w:rsid w:val="53F07AC1"/>
    <w:rsid w:val="54E84FDF"/>
    <w:rsid w:val="55BA53AE"/>
    <w:rsid w:val="55C776A4"/>
    <w:rsid w:val="567416A5"/>
    <w:rsid w:val="5809635D"/>
    <w:rsid w:val="59172746"/>
    <w:rsid w:val="5A733F76"/>
    <w:rsid w:val="5B6E47C3"/>
    <w:rsid w:val="5BC40243"/>
    <w:rsid w:val="5BC75721"/>
    <w:rsid w:val="5BDC14B6"/>
    <w:rsid w:val="5D6508CE"/>
    <w:rsid w:val="5E3E12AC"/>
    <w:rsid w:val="5F270547"/>
    <w:rsid w:val="5FA6034F"/>
    <w:rsid w:val="5FCA54EC"/>
    <w:rsid w:val="604C73E4"/>
    <w:rsid w:val="60AF6DFB"/>
    <w:rsid w:val="60E63CE9"/>
    <w:rsid w:val="610E446D"/>
    <w:rsid w:val="61335876"/>
    <w:rsid w:val="61665FE8"/>
    <w:rsid w:val="63F275F0"/>
    <w:rsid w:val="661B78FF"/>
    <w:rsid w:val="66596468"/>
    <w:rsid w:val="669570FD"/>
    <w:rsid w:val="674212A6"/>
    <w:rsid w:val="69055CA1"/>
    <w:rsid w:val="6A514E54"/>
    <w:rsid w:val="6A943473"/>
    <w:rsid w:val="6E175581"/>
    <w:rsid w:val="6E2D3590"/>
    <w:rsid w:val="6E56586F"/>
    <w:rsid w:val="6F9049F6"/>
    <w:rsid w:val="70063992"/>
    <w:rsid w:val="70AE1C14"/>
    <w:rsid w:val="711347D1"/>
    <w:rsid w:val="718116E3"/>
    <w:rsid w:val="7205319D"/>
    <w:rsid w:val="72C2786A"/>
    <w:rsid w:val="7375172D"/>
    <w:rsid w:val="74C025F8"/>
    <w:rsid w:val="755754C2"/>
    <w:rsid w:val="75836D6D"/>
    <w:rsid w:val="75A20A8B"/>
    <w:rsid w:val="75A871E5"/>
    <w:rsid w:val="765012AA"/>
    <w:rsid w:val="77091C17"/>
    <w:rsid w:val="794B3519"/>
    <w:rsid w:val="79F64F71"/>
    <w:rsid w:val="7A3E0CE2"/>
    <w:rsid w:val="7A45625E"/>
    <w:rsid w:val="7C3C6060"/>
    <w:rsid w:val="7C667FF7"/>
    <w:rsid w:val="7D281174"/>
    <w:rsid w:val="7E24456C"/>
    <w:rsid w:val="7EB24B81"/>
    <w:rsid w:val="7F845E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spacing w:before="100" w:beforeAutospacing="1" w:after="100" w:afterAutospacing="1"/>
      <w:jc w:val="left"/>
    </w:pPr>
    <w:rPr>
      <w:rFonts w:ascii="Calibri" w:hAnsi="Calibri"/>
      <w:kern w:val="0"/>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qFormat/>
    <w:uiPriority w:val="0"/>
  </w:style>
  <w:style w:type="character" w:styleId="9">
    <w:name w:val="Emphasis"/>
    <w:basedOn w:val="7"/>
    <w:qFormat/>
    <w:uiPriority w:val="0"/>
    <w:rPr>
      <w:i/>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5628</Words>
  <Characters>5903</Characters>
  <Lines>132</Lines>
  <Paragraphs>37</Paragraphs>
  <TotalTime>1</TotalTime>
  <ScaleCrop>false</ScaleCrop>
  <LinksUpToDate>false</LinksUpToDate>
  <CharactersWithSpaces>5906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2019-03-13T06:57:00Z</dcterms:created>
  <dc:creator>青青</dc:creator>
  <cp:lastModifiedBy>Sing</cp:lastModifiedBy>
  <cp:lastPrinted>2022-09-08T07:20:00Z</cp:lastPrinted>
  <dcterms:modified xsi:type="dcterms:W3CDTF">2023-10-26T02:49:12Z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BAE31D9645A044C2AFFB488ACD586A44</vt:lpwstr>
  </property>
</Properties>
</file>